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40C4D" w14:textId="3E25EC89" w:rsidR="00973390" w:rsidRPr="00C55E57" w:rsidRDefault="00973390" w:rsidP="00973390">
      <w:pPr>
        <w:pStyle w:val="Heading1"/>
        <w:spacing w:before="0" w:beforeAutospacing="0" w:after="240" w:afterAutospacing="0"/>
        <w:ind w:left="567" w:hanging="567"/>
        <w:jc w:val="center"/>
        <w:textAlignment w:val="baseline"/>
        <w:rPr>
          <w:rStyle w:val="Hyperlink"/>
          <w:rFonts w:asciiTheme="minorHAnsi" w:hAnsiTheme="minorHAnsi"/>
          <w:i/>
          <w:color w:val="000000" w:themeColor="text1"/>
          <w:sz w:val="24"/>
          <w:szCs w:val="24"/>
        </w:rPr>
      </w:pPr>
      <w:r>
        <w:rPr>
          <w:rStyle w:val="Hyperlink"/>
          <w:rFonts w:asciiTheme="minorHAnsi" w:hAnsiTheme="minorHAnsi"/>
          <w:color w:val="000000" w:themeColor="text1"/>
          <w:sz w:val="24"/>
          <w:szCs w:val="24"/>
        </w:rPr>
        <w:t>Re</w:t>
      </w:r>
      <w:r w:rsidR="00CB4C8C">
        <w:rPr>
          <w:rStyle w:val="Hyperlink"/>
          <w:rFonts w:asciiTheme="minorHAnsi" w:hAnsiTheme="minorHAnsi"/>
          <w:color w:val="000000" w:themeColor="text1"/>
          <w:sz w:val="24"/>
          <w:szCs w:val="24"/>
        </w:rPr>
        <w:t>ference</w:t>
      </w:r>
      <w:r>
        <w:rPr>
          <w:rStyle w:val="Hyperlink"/>
          <w:rFonts w:asciiTheme="minorHAnsi" w:hAnsiTheme="minorHAnsi"/>
          <w:color w:val="000000" w:themeColor="text1"/>
          <w:sz w:val="24"/>
          <w:szCs w:val="24"/>
        </w:rPr>
        <w:t xml:space="preserve">s for video: </w:t>
      </w:r>
      <w:r w:rsidRPr="00C55E57">
        <w:rPr>
          <w:rStyle w:val="Hyperlink"/>
          <w:rFonts w:asciiTheme="minorHAnsi" w:hAnsiTheme="minorHAnsi"/>
          <w:i/>
          <w:color w:val="000000" w:themeColor="text1"/>
          <w:sz w:val="24"/>
          <w:szCs w:val="24"/>
        </w:rPr>
        <w:t>Trends in Nursing, Education &amp; Nursing Education</w:t>
      </w:r>
    </w:p>
    <w:p w14:paraId="1658DDF0" w14:textId="68397FCE" w:rsidR="00973390" w:rsidRPr="00F92011" w:rsidRDefault="00973390" w:rsidP="00F92011">
      <w:pPr>
        <w:pStyle w:val="Heading1"/>
        <w:shd w:val="clear" w:color="auto" w:fill="FFFFFF"/>
        <w:spacing w:before="0" w:beforeAutospacing="0" w:after="0" w:afterAutospacing="0" w:line="480" w:lineRule="auto"/>
        <w:ind w:left="567" w:hanging="567"/>
        <w:rPr>
          <w:rStyle w:val="Hyperlink"/>
          <w:rFonts w:asciiTheme="minorHAnsi" w:hAnsiTheme="minorHAnsi" w:cs="Segoe UI"/>
          <w:b w:val="0"/>
          <w:i/>
          <w:sz w:val="24"/>
          <w:szCs w:val="24"/>
          <w:u w:val="none"/>
        </w:rPr>
      </w:pPr>
      <w:r w:rsidRPr="00F92011">
        <w:rPr>
          <w:rStyle w:val="Hyperlink"/>
          <w:rFonts w:asciiTheme="minorHAnsi" w:hAnsiTheme="minorHAnsi"/>
          <w:b w:val="0"/>
          <w:color w:val="000000" w:themeColor="text1"/>
          <w:sz w:val="24"/>
          <w:szCs w:val="24"/>
          <w:u w:val="none"/>
        </w:rPr>
        <w:t xml:space="preserve">Canadian Nurses Association. (2017). </w:t>
      </w:r>
      <w:r w:rsidR="00F92011">
        <w:rPr>
          <w:rFonts w:asciiTheme="minorHAnsi" w:hAnsiTheme="minorHAnsi" w:cs="Segoe UI"/>
          <w:b w:val="0"/>
          <w:i/>
          <w:sz w:val="24"/>
          <w:szCs w:val="24"/>
        </w:rPr>
        <w:t>Registered Nurses p</w:t>
      </w:r>
      <w:r w:rsidRPr="00F92011">
        <w:rPr>
          <w:rFonts w:asciiTheme="minorHAnsi" w:hAnsiTheme="minorHAnsi" w:cs="Segoe UI"/>
          <w:b w:val="0"/>
          <w:i/>
          <w:sz w:val="24"/>
          <w:szCs w:val="24"/>
        </w:rPr>
        <w:t>rofile (including Nurse Practitioners), Canada, 2017. R</w:t>
      </w:r>
      <w:r w:rsidRPr="00F92011">
        <w:rPr>
          <w:rStyle w:val="Hyperlink"/>
          <w:rFonts w:asciiTheme="minorHAnsi" w:hAnsiTheme="minorHAnsi"/>
          <w:b w:val="0"/>
          <w:color w:val="000000" w:themeColor="text1"/>
          <w:sz w:val="24"/>
          <w:szCs w:val="24"/>
          <w:u w:val="none"/>
        </w:rPr>
        <w:t xml:space="preserve">etrieved from </w:t>
      </w:r>
      <w:hyperlink r:id="rId4" w:history="1">
        <w:r w:rsidRPr="00F92011">
          <w:rPr>
            <w:rStyle w:val="Hyperlink"/>
            <w:rFonts w:asciiTheme="minorHAnsi" w:hAnsiTheme="minorHAnsi" w:cs="Segoe UI"/>
            <w:b w:val="0"/>
            <w:sz w:val="24"/>
            <w:szCs w:val="24"/>
            <w:u w:val="none"/>
          </w:rPr>
          <w:t>https://www.cna-aiic.ca/en/nursing-practice/the-practice-of-nursing/health-human-resources/nursing-statistics/canada</w:t>
        </w:r>
      </w:hyperlink>
    </w:p>
    <w:p w14:paraId="6A46EC3E" w14:textId="3FA1071C" w:rsidR="00973390" w:rsidRPr="00697F9A" w:rsidRDefault="00973390" w:rsidP="00F92011">
      <w:pPr>
        <w:pStyle w:val="Heading1"/>
        <w:spacing w:before="0" w:beforeAutospacing="0" w:after="0" w:afterAutospacing="0" w:line="480" w:lineRule="auto"/>
        <w:ind w:left="567" w:hanging="567"/>
        <w:textAlignment w:val="baseline"/>
        <w:rPr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</w:pPr>
      <w:r w:rsidRPr="00F92011">
        <w:rPr>
          <w:rStyle w:val="Hyperlink"/>
          <w:rFonts w:asciiTheme="minorHAnsi" w:hAnsiTheme="minorHAnsi"/>
          <w:b w:val="0"/>
          <w:color w:val="000000" w:themeColor="text1"/>
          <w:sz w:val="24"/>
          <w:szCs w:val="24"/>
          <w:u w:val="none"/>
        </w:rPr>
        <w:t>Daley, K. &amp; Campbell, S. H. (</w:t>
      </w:r>
      <w:bookmarkStart w:id="0" w:name="citation"/>
      <w:r w:rsidRPr="00F92011">
        <w:rPr>
          <w:rStyle w:val="Hyperlink"/>
          <w:rFonts w:asciiTheme="minorHAnsi" w:hAnsiTheme="minorHAnsi"/>
          <w:b w:val="0"/>
          <w:color w:val="000000" w:themeColor="text1"/>
          <w:sz w:val="24"/>
          <w:szCs w:val="24"/>
          <w:u w:val="none"/>
        </w:rPr>
        <w:t>2013</w:t>
      </w:r>
      <w:r w:rsidRPr="00E90668">
        <w:rPr>
          <w:rStyle w:val="Hyperlink"/>
          <w:rFonts w:asciiTheme="minorHAnsi" w:hAnsiTheme="minorHAnsi"/>
          <w:b w:val="0"/>
          <w:color w:val="auto"/>
          <w:sz w:val="24"/>
          <w:szCs w:val="24"/>
          <w:u w:val="none"/>
        </w:rPr>
        <w:t xml:space="preserve">). </w:t>
      </w:r>
      <w:r w:rsidRPr="00E90668">
        <w:rPr>
          <w:rStyle w:val="Strong"/>
          <w:rFonts w:asciiTheme="minorHAnsi" w:hAnsiTheme="minorHAnsi"/>
          <w:bCs/>
          <w:i/>
          <w:sz w:val="24"/>
          <w:szCs w:val="24"/>
          <w:bdr w:val="none" w:sz="0" w:space="0" w:color="auto" w:frame="1"/>
        </w:rPr>
        <w:t>Simulation</w:t>
      </w:r>
      <w:r w:rsidRPr="00E90668">
        <w:rPr>
          <w:rFonts w:asciiTheme="minorHAnsi" w:hAnsiTheme="minorHAnsi"/>
          <w:b w:val="0"/>
          <w:i/>
          <w:sz w:val="24"/>
          <w:szCs w:val="24"/>
          <w:bdr w:val="none" w:sz="0" w:space="0" w:color="auto" w:frame="1"/>
        </w:rPr>
        <w:t> scenarios for </w:t>
      </w:r>
      <w:r w:rsidRPr="00E90668">
        <w:rPr>
          <w:rStyle w:val="Strong"/>
          <w:rFonts w:asciiTheme="minorHAnsi" w:hAnsiTheme="minorHAnsi"/>
          <w:bCs/>
          <w:i/>
          <w:sz w:val="24"/>
          <w:szCs w:val="24"/>
          <w:bdr w:val="none" w:sz="0" w:space="0" w:color="auto" w:frame="1"/>
        </w:rPr>
        <w:t>nursing</w:t>
      </w:r>
      <w:r w:rsidRPr="00E90668">
        <w:rPr>
          <w:rFonts w:asciiTheme="minorHAnsi" w:hAnsiTheme="minorHAnsi"/>
          <w:i/>
          <w:sz w:val="24"/>
          <w:szCs w:val="24"/>
          <w:bdr w:val="none" w:sz="0" w:space="0" w:color="auto" w:frame="1"/>
        </w:rPr>
        <w:t> </w:t>
      </w:r>
      <w:r w:rsidRPr="00E90668">
        <w:rPr>
          <w:rFonts w:asciiTheme="minorHAnsi" w:hAnsiTheme="minorHAnsi"/>
          <w:b w:val="0"/>
          <w:i/>
          <w:sz w:val="24"/>
          <w:szCs w:val="24"/>
          <w:bdr w:val="none" w:sz="0" w:space="0" w:color="auto" w:frame="1"/>
        </w:rPr>
        <w:t>educators: Making it real</w:t>
      </w:r>
      <w:r w:rsidR="00E90668" w:rsidRPr="00E90668">
        <w:rPr>
          <w:rFonts w:asciiTheme="minorHAnsi" w:hAnsiTheme="minorHAnsi"/>
          <w:b w:val="0"/>
          <w:i/>
          <w:sz w:val="24"/>
          <w:szCs w:val="24"/>
          <w:bdr w:val="none" w:sz="0" w:space="0" w:color="auto" w:frame="1"/>
        </w:rPr>
        <w:t>.</w:t>
      </w:r>
      <w:r w:rsidRPr="00E90668">
        <w:rPr>
          <w:rFonts w:asciiTheme="minorHAnsi" w:hAnsi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697F9A">
        <w:rPr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>(2</w:t>
      </w:r>
      <w:r w:rsidRPr="00697F9A">
        <w:rPr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vertAlign w:val="superscript"/>
        </w:rPr>
        <w:t>nd</w:t>
      </w:r>
      <w:r w:rsidRPr="00697F9A">
        <w:rPr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 xml:space="preserve"> Ed.), Springer Publishing Company: New York. </w:t>
      </w:r>
    </w:p>
    <w:bookmarkEnd w:id="0"/>
    <w:p w14:paraId="3DE1FF3C" w14:textId="77777777" w:rsidR="00973390" w:rsidRPr="00697F9A" w:rsidRDefault="00973390" w:rsidP="00F92011">
      <w:pPr>
        <w:spacing w:after="0" w:line="480" w:lineRule="auto"/>
        <w:ind w:left="567" w:hanging="567"/>
        <w:rPr>
          <w:rFonts w:cs="Times New Roman"/>
          <w:sz w:val="24"/>
          <w:szCs w:val="24"/>
        </w:rPr>
      </w:pPr>
      <w:r w:rsidRPr="00697F9A">
        <w:rPr>
          <w:rFonts w:cs="Times New Roman"/>
          <w:sz w:val="24"/>
          <w:szCs w:val="24"/>
        </w:rPr>
        <w:t xml:space="preserve">Gordon, R.M. &amp; McGonigle, D. (2018). </w:t>
      </w:r>
      <w:r w:rsidRPr="00697F9A">
        <w:rPr>
          <w:rFonts w:cs="Times New Roman"/>
          <w:i/>
          <w:sz w:val="24"/>
          <w:szCs w:val="24"/>
        </w:rPr>
        <w:t xml:space="preserve">Virtual simulation in nursing education. </w:t>
      </w:r>
      <w:r w:rsidRPr="00697F9A">
        <w:rPr>
          <w:rFonts w:cs="Times New Roman"/>
          <w:color w:val="333333"/>
          <w:sz w:val="24"/>
          <w:szCs w:val="24"/>
          <w:bdr w:val="none" w:sz="0" w:space="0" w:color="auto" w:frame="1"/>
        </w:rPr>
        <w:t>Springer Publishing Company: New York.</w:t>
      </w:r>
    </w:p>
    <w:p w14:paraId="69F0DF2E" w14:textId="37F54EE8" w:rsidR="00F92011" w:rsidRPr="00E90668" w:rsidRDefault="00F92011" w:rsidP="00F92011">
      <w:pPr>
        <w:pStyle w:val="Heading1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/>
          <w:b w:val="0"/>
          <w:bCs w:val="0"/>
          <w:color w:val="191919"/>
          <w:sz w:val="24"/>
          <w:szCs w:val="24"/>
        </w:rPr>
      </w:pPr>
      <w:r w:rsidRPr="00F92011">
        <w:rPr>
          <w:rFonts w:asciiTheme="minorHAnsi" w:hAnsiTheme="minorHAnsi"/>
          <w:b w:val="0"/>
          <w:sz w:val="24"/>
          <w:szCs w:val="24"/>
        </w:rPr>
        <w:t xml:space="preserve">Grant, K. (2018, May 15). </w:t>
      </w:r>
      <w:r w:rsidRPr="00F92011">
        <w:rPr>
          <w:rFonts w:asciiTheme="minorHAnsi" w:hAnsiTheme="minorHAnsi"/>
          <w:b w:val="0"/>
          <w:bCs w:val="0"/>
          <w:color w:val="191919"/>
          <w:sz w:val="24"/>
          <w:szCs w:val="24"/>
        </w:rPr>
        <w:t>Supply of nurses falls in Canada for first time in almost 20 years: report</w:t>
      </w:r>
      <w:r>
        <w:rPr>
          <w:rFonts w:asciiTheme="minorHAnsi" w:hAnsiTheme="minorHAnsi"/>
          <w:b w:val="0"/>
          <w:bCs w:val="0"/>
          <w:color w:val="191919"/>
          <w:sz w:val="24"/>
          <w:szCs w:val="24"/>
        </w:rPr>
        <w:t xml:space="preserve">. </w:t>
      </w:r>
      <w:r>
        <w:rPr>
          <w:rFonts w:asciiTheme="minorHAnsi" w:hAnsiTheme="minorHAnsi"/>
          <w:b w:val="0"/>
          <w:bCs w:val="0"/>
          <w:i/>
          <w:color w:val="191919"/>
          <w:sz w:val="24"/>
          <w:szCs w:val="24"/>
        </w:rPr>
        <w:t xml:space="preserve">The Globe and Mail. </w:t>
      </w:r>
      <w:r>
        <w:rPr>
          <w:rFonts w:asciiTheme="minorHAnsi" w:hAnsiTheme="minorHAnsi"/>
          <w:b w:val="0"/>
          <w:bCs w:val="0"/>
          <w:color w:val="191919"/>
          <w:sz w:val="24"/>
          <w:szCs w:val="24"/>
        </w:rPr>
        <w:t xml:space="preserve">Retrieved from </w:t>
      </w:r>
      <w:hyperlink r:id="rId5" w:history="1">
        <w:r w:rsidRPr="00E90668">
          <w:rPr>
            <w:rStyle w:val="Hyperlink"/>
            <w:rFonts w:asciiTheme="minorHAnsi" w:hAnsiTheme="minorHAnsi"/>
            <w:b w:val="0"/>
            <w:sz w:val="24"/>
            <w:szCs w:val="24"/>
            <w:u w:val="none"/>
          </w:rPr>
          <w:t>https://www.theglobeandmail.com/life/health-and-fitness/health/supply-of-nurses-falls-in-canada-for-first-time-in-almost-20-years-report/article25069547/</w:t>
        </w:r>
      </w:hyperlink>
    </w:p>
    <w:p w14:paraId="22096C2D" w14:textId="25C9E1A1" w:rsidR="00973390" w:rsidRPr="00697F9A" w:rsidRDefault="00973390" w:rsidP="00F92011">
      <w:pPr>
        <w:spacing w:after="0" w:line="480" w:lineRule="auto"/>
        <w:ind w:left="567" w:hanging="567"/>
        <w:rPr>
          <w:sz w:val="24"/>
          <w:szCs w:val="24"/>
        </w:rPr>
      </w:pPr>
      <w:r w:rsidRPr="00697F9A">
        <w:rPr>
          <w:sz w:val="24"/>
          <w:szCs w:val="24"/>
        </w:rPr>
        <w:t xml:space="preserve">Hayden, J. K., Smiley, R.A., Alexander, M., Kardong-Edgren, S.,&amp; Jeffries, P.R. (2014). The NCSBN National simulation study: A longitudinal, randomized, controlled study replacing clinical hours with simulation in prelicensure nursing education. </w:t>
      </w:r>
      <w:r w:rsidRPr="00697F9A">
        <w:rPr>
          <w:i/>
          <w:sz w:val="24"/>
          <w:szCs w:val="24"/>
        </w:rPr>
        <w:t>Journal of Nursing Regulation, 5</w:t>
      </w:r>
      <w:r w:rsidR="00CB4C8C">
        <w:rPr>
          <w:sz w:val="24"/>
          <w:szCs w:val="24"/>
        </w:rPr>
        <w:t xml:space="preserve"> (2) (Supplement), </w:t>
      </w:r>
      <w:r w:rsidRPr="00697F9A">
        <w:rPr>
          <w:sz w:val="24"/>
          <w:szCs w:val="24"/>
        </w:rPr>
        <w:t>1-66.</w:t>
      </w:r>
    </w:p>
    <w:p w14:paraId="1A5758F5" w14:textId="77777777" w:rsidR="00973390" w:rsidRPr="00697F9A" w:rsidRDefault="00973390" w:rsidP="00F92011">
      <w:pPr>
        <w:spacing w:after="0" w:line="480" w:lineRule="auto"/>
        <w:ind w:left="567" w:hanging="567"/>
        <w:rPr>
          <w:rFonts w:cs="Times New Roman"/>
          <w:sz w:val="24"/>
          <w:szCs w:val="24"/>
        </w:rPr>
      </w:pPr>
      <w:r w:rsidRPr="00697F9A">
        <w:rPr>
          <w:rFonts w:cs="Times New Roman"/>
          <w:sz w:val="24"/>
          <w:szCs w:val="24"/>
        </w:rPr>
        <w:t>Kim, J.</w:t>
      </w:r>
      <w:r>
        <w:rPr>
          <w:rFonts w:cs="Times New Roman"/>
          <w:sz w:val="24"/>
          <w:szCs w:val="24"/>
        </w:rPr>
        <w:t>,</w:t>
      </w:r>
      <w:r w:rsidRPr="00697F9A">
        <w:rPr>
          <w:rFonts w:cs="Times New Roman"/>
          <w:sz w:val="24"/>
          <w:szCs w:val="24"/>
        </w:rPr>
        <w:t xml:space="preserve"> Park, J. H. &amp; Shin, S. (2016).  Effectiveness of simulation-based nursing education depending on fidelity: A meta-analysis. </w:t>
      </w:r>
      <w:r w:rsidRPr="00697F9A">
        <w:rPr>
          <w:rFonts w:cs="Times New Roman"/>
          <w:i/>
          <w:sz w:val="24"/>
          <w:szCs w:val="24"/>
        </w:rPr>
        <w:t>Medical Education, 16</w:t>
      </w:r>
      <w:r w:rsidRPr="00697F9A">
        <w:rPr>
          <w:rFonts w:cs="Times New Roman"/>
          <w:sz w:val="24"/>
          <w:szCs w:val="24"/>
        </w:rPr>
        <w:t xml:space="preserve"> (152), 1-8. DOI 10.1186/s12909-016-0672-7</w:t>
      </w:r>
    </w:p>
    <w:p w14:paraId="23FC81A7" w14:textId="77777777" w:rsidR="00973390" w:rsidRPr="00697F9A" w:rsidRDefault="00973390" w:rsidP="00F92011">
      <w:pPr>
        <w:spacing w:after="0" w:line="480" w:lineRule="auto"/>
        <w:ind w:left="567" w:hanging="567"/>
        <w:rPr>
          <w:rFonts w:cs="Times New Roman"/>
          <w:sz w:val="24"/>
          <w:szCs w:val="24"/>
        </w:rPr>
      </w:pPr>
      <w:r w:rsidRPr="00697F9A">
        <w:rPr>
          <w:rFonts w:cs="Times New Roman"/>
          <w:sz w:val="24"/>
          <w:szCs w:val="24"/>
        </w:rPr>
        <w:lastRenderedPageBreak/>
        <w:t xml:space="preserve">Sanko, J. S. (2017). Simulation as a teaching technology: A brief history of its use in nursing education. </w:t>
      </w:r>
      <w:r w:rsidRPr="00697F9A">
        <w:rPr>
          <w:rFonts w:cs="Times New Roman"/>
          <w:i/>
          <w:sz w:val="24"/>
          <w:szCs w:val="24"/>
        </w:rPr>
        <w:t>The Quarterly Review of Distance Education, 18</w:t>
      </w:r>
      <w:r w:rsidRPr="00697F9A">
        <w:rPr>
          <w:rFonts w:cs="Times New Roman"/>
          <w:sz w:val="24"/>
          <w:szCs w:val="24"/>
        </w:rPr>
        <w:t xml:space="preserve"> (2), 77-85.</w:t>
      </w:r>
    </w:p>
    <w:p w14:paraId="7EE3C0F6" w14:textId="77777777" w:rsidR="00973390" w:rsidRPr="00F92011" w:rsidRDefault="00973390" w:rsidP="00F92011">
      <w:pPr>
        <w:pStyle w:val="Heading1"/>
        <w:shd w:val="clear" w:color="auto" w:fill="FFFFFF"/>
        <w:tabs>
          <w:tab w:val="left" w:pos="567"/>
        </w:tabs>
        <w:spacing w:before="0" w:beforeAutospacing="0" w:after="0" w:afterAutospacing="0" w:line="480" w:lineRule="auto"/>
        <w:ind w:left="567" w:hanging="567"/>
        <w:rPr>
          <w:rFonts w:asciiTheme="minorHAnsi" w:hAnsiTheme="minorHAnsi"/>
          <w:b w:val="0"/>
          <w:sz w:val="24"/>
          <w:szCs w:val="24"/>
        </w:rPr>
      </w:pPr>
      <w:r w:rsidRPr="00973390">
        <w:rPr>
          <w:rStyle w:val="Hyperlink"/>
          <w:rFonts w:asciiTheme="minorHAnsi" w:hAnsiTheme="minorHAnsi"/>
          <w:b w:val="0"/>
          <w:color w:val="000000" w:themeColor="text1"/>
          <w:sz w:val="24"/>
          <w:szCs w:val="24"/>
          <w:u w:val="none"/>
        </w:rPr>
        <w:t>Technavio. (2018, September</w:t>
      </w:r>
      <w:r w:rsidRPr="00973390">
        <w:rPr>
          <w:rStyle w:val="Hyperlink"/>
          <w:rFonts w:asciiTheme="minorHAnsi" w:hAnsiTheme="minorHAnsi"/>
          <w:color w:val="000000" w:themeColor="text1"/>
          <w:sz w:val="24"/>
          <w:szCs w:val="24"/>
          <w:u w:val="none"/>
        </w:rPr>
        <w:t xml:space="preserve"> </w:t>
      </w:r>
      <w:r w:rsidRPr="00973390">
        <w:rPr>
          <w:rFonts w:asciiTheme="minorHAnsi" w:hAnsiTheme="minorHAnsi"/>
          <w:b w:val="0"/>
          <w:bCs w:val="0"/>
          <w:color w:val="0D253E"/>
          <w:sz w:val="24"/>
          <w:szCs w:val="24"/>
          <w:shd w:val="clear" w:color="auto" w:fill="FFFFFF"/>
        </w:rPr>
        <w:t>5</w:t>
      </w:r>
      <w:r w:rsidRPr="00697F9A">
        <w:rPr>
          <w:rFonts w:asciiTheme="minorHAnsi" w:hAnsiTheme="minorHAnsi"/>
          <w:b w:val="0"/>
          <w:bCs w:val="0"/>
          <w:color w:val="0D253E"/>
          <w:sz w:val="24"/>
          <w:szCs w:val="24"/>
          <w:shd w:val="clear" w:color="auto" w:fill="FFFFFF"/>
        </w:rPr>
        <w:t xml:space="preserve">). </w:t>
      </w:r>
      <w:r w:rsidRPr="00697F9A">
        <w:rPr>
          <w:rFonts w:asciiTheme="minorHAnsi" w:hAnsiTheme="minorHAnsi"/>
          <w:b w:val="0"/>
          <w:i/>
          <w:color w:val="0D253E"/>
          <w:sz w:val="24"/>
          <w:szCs w:val="24"/>
        </w:rPr>
        <w:t xml:space="preserve">Top 10 Trends in Educational Technology For 2018. </w:t>
      </w:r>
      <w:r w:rsidRPr="00697F9A">
        <w:rPr>
          <w:rFonts w:asciiTheme="minorHAnsi" w:hAnsiTheme="minorHAnsi"/>
          <w:b w:val="0"/>
          <w:color w:val="0D253E"/>
          <w:sz w:val="24"/>
          <w:szCs w:val="24"/>
        </w:rPr>
        <w:t xml:space="preserve">[blog post]. Retrieved from </w:t>
      </w:r>
      <w:hyperlink r:id="rId6" w:history="1">
        <w:r w:rsidRPr="00F92011">
          <w:rPr>
            <w:rStyle w:val="Hyperlink"/>
            <w:rFonts w:asciiTheme="minorHAnsi" w:hAnsiTheme="minorHAnsi"/>
            <w:b w:val="0"/>
            <w:sz w:val="24"/>
            <w:szCs w:val="24"/>
          </w:rPr>
          <w:t>https://blog.technavio.com/blog/top-10-trends-in-educational-technology</w:t>
        </w:r>
      </w:hyperlink>
    </w:p>
    <w:p w14:paraId="026E945B" w14:textId="77777777" w:rsidR="00973390" w:rsidRPr="00F92011" w:rsidRDefault="00973390" w:rsidP="00F92011">
      <w:pPr>
        <w:pStyle w:val="Heading1"/>
        <w:shd w:val="clear" w:color="auto" w:fill="FFFFFF"/>
        <w:tabs>
          <w:tab w:val="left" w:pos="567"/>
        </w:tabs>
        <w:spacing w:before="0" w:beforeAutospacing="0" w:after="0" w:afterAutospacing="0" w:line="480" w:lineRule="auto"/>
        <w:ind w:left="567" w:hanging="567"/>
        <w:rPr>
          <w:rFonts w:asciiTheme="minorHAnsi" w:hAnsiTheme="minorHAnsi"/>
          <w:b w:val="0"/>
          <w:sz w:val="24"/>
          <w:szCs w:val="24"/>
        </w:rPr>
      </w:pPr>
      <w:r w:rsidRPr="00697F9A">
        <w:rPr>
          <w:rFonts w:asciiTheme="minorHAnsi" w:hAnsiTheme="minorHAnsi"/>
          <w:b w:val="0"/>
          <w:bCs w:val="0"/>
          <w:color w:val="003E51"/>
          <w:sz w:val="24"/>
          <w:szCs w:val="24"/>
        </w:rPr>
        <w:t xml:space="preserve">Thompson Rivers University (2018, April 5). </w:t>
      </w:r>
      <w:r w:rsidRPr="00697F9A">
        <w:rPr>
          <w:rFonts w:asciiTheme="minorHAnsi" w:hAnsiTheme="minorHAnsi"/>
          <w:b w:val="0"/>
          <w:bCs w:val="0"/>
          <w:i/>
          <w:color w:val="003E51"/>
          <w:sz w:val="24"/>
          <w:szCs w:val="24"/>
        </w:rPr>
        <w:t xml:space="preserve">Premier breaks ground on new nursing building. </w:t>
      </w:r>
      <w:r w:rsidRPr="00697F9A">
        <w:rPr>
          <w:rFonts w:asciiTheme="minorHAnsi" w:hAnsiTheme="minorHAnsi"/>
          <w:b w:val="0"/>
          <w:bCs w:val="0"/>
          <w:color w:val="003E51"/>
          <w:sz w:val="24"/>
          <w:szCs w:val="24"/>
        </w:rPr>
        <w:t>[news].</w:t>
      </w:r>
      <w:r w:rsidRPr="00697F9A">
        <w:rPr>
          <w:rFonts w:asciiTheme="minorHAnsi" w:hAnsiTheme="minorHAnsi"/>
          <w:b w:val="0"/>
          <w:bCs w:val="0"/>
          <w:i/>
          <w:color w:val="003E51"/>
          <w:sz w:val="24"/>
          <w:szCs w:val="24"/>
        </w:rPr>
        <w:t xml:space="preserve"> </w:t>
      </w:r>
      <w:r w:rsidRPr="00697F9A">
        <w:rPr>
          <w:rFonts w:asciiTheme="minorHAnsi" w:hAnsiTheme="minorHAnsi"/>
          <w:b w:val="0"/>
          <w:bCs w:val="0"/>
          <w:color w:val="003E51"/>
          <w:sz w:val="24"/>
          <w:szCs w:val="24"/>
        </w:rPr>
        <w:t xml:space="preserve">Retrieved from </w:t>
      </w:r>
      <w:hyperlink r:id="rId7" w:history="1">
        <w:r w:rsidRPr="00F92011">
          <w:rPr>
            <w:rStyle w:val="Hyperlink"/>
            <w:rFonts w:asciiTheme="minorHAnsi" w:hAnsiTheme="minorHAnsi"/>
            <w:b w:val="0"/>
            <w:sz w:val="24"/>
            <w:szCs w:val="24"/>
          </w:rPr>
          <w:t>https://inside.tru.ca/2018/04/05/premier-breaks-ground-on-new-nursing-building/</w:t>
        </w:r>
      </w:hyperlink>
    </w:p>
    <w:p w14:paraId="673E2B9E" w14:textId="77777777" w:rsidR="00973390" w:rsidRPr="00697F9A" w:rsidRDefault="00973390" w:rsidP="00F92011">
      <w:pPr>
        <w:spacing w:after="0" w:line="480" w:lineRule="auto"/>
        <w:ind w:left="567" w:hanging="567"/>
        <w:rPr>
          <w:rStyle w:val="Hyperlink"/>
          <w:color w:val="000000" w:themeColor="text1"/>
          <w:sz w:val="24"/>
          <w:szCs w:val="24"/>
        </w:rPr>
      </w:pPr>
      <w:r w:rsidRPr="00E90668">
        <w:rPr>
          <w:rStyle w:val="Hyperlink"/>
          <w:color w:val="000000" w:themeColor="text1"/>
          <w:sz w:val="24"/>
          <w:szCs w:val="24"/>
          <w:u w:val="none"/>
        </w:rPr>
        <w:t xml:space="preserve">Tuzer, H., Dinc, L. &amp; Elcin, M. (2016). The effects of using high fidelity simulators and standardized patients on the thorax, lung and cardiac examination skills of undergraduate nursing students. </w:t>
      </w:r>
      <w:r w:rsidRPr="00E90668">
        <w:rPr>
          <w:rStyle w:val="Hyperlink"/>
          <w:i/>
          <w:color w:val="000000" w:themeColor="text1"/>
          <w:sz w:val="24"/>
          <w:szCs w:val="24"/>
          <w:u w:val="none"/>
        </w:rPr>
        <w:t>Nurse Education Today, 45</w:t>
      </w:r>
      <w:r w:rsidRPr="00697F9A">
        <w:rPr>
          <w:sz w:val="24"/>
          <w:szCs w:val="24"/>
        </w:rPr>
        <w:t xml:space="preserve"> (7), 120-125. </w:t>
      </w:r>
      <w:hyperlink r:id="rId8" w:history="1">
        <w:r w:rsidRPr="00697F9A">
          <w:rPr>
            <w:rStyle w:val="Hyperlink"/>
            <w:sz w:val="24"/>
            <w:szCs w:val="24"/>
          </w:rPr>
          <w:t>http://dx.doi.org/10.1016/j.nedt.2016.07.002</w:t>
        </w:r>
      </w:hyperlink>
    </w:p>
    <w:p w14:paraId="571C2DF5" w14:textId="77777777" w:rsidR="00BC2188" w:rsidRDefault="00973390" w:rsidP="00F92011">
      <w:pPr>
        <w:spacing w:after="0" w:line="480" w:lineRule="auto"/>
        <w:ind w:left="567" w:hanging="567"/>
      </w:pPr>
      <w:r w:rsidRPr="00697F9A">
        <w:rPr>
          <w:rStyle w:val="Hyperlink"/>
          <w:color w:val="000000" w:themeColor="text1"/>
          <w:sz w:val="24"/>
          <w:szCs w:val="24"/>
        </w:rPr>
        <w:t xml:space="preserve">Verkuyl, M. &amp; Atack, L. (2017). Virtual gaming simulation for nursing education: An experiment. </w:t>
      </w:r>
      <w:r w:rsidRPr="00697F9A">
        <w:rPr>
          <w:rStyle w:val="Hyperlink"/>
          <w:i/>
          <w:color w:val="000000" w:themeColor="text1"/>
          <w:sz w:val="24"/>
          <w:szCs w:val="24"/>
        </w:rPr>
        <w:t>Clinical Simulation in Nursing, 13</w:t>
      </w:r>
      <w:r w:rsidRPr="00697F9A">
        <w:rPr>
          <w:rStyle w:val="Hyperlink"/>
          <w:color w:val="000000" w:themeColor="text1"/>
          <w:sz w:val="24"/>
          <w:szCs w:val="24"/>
        </w:rPr>
        <w:t xml:space="preserve"> (5), 238-244. http://dx.doi.org/10.1016/j.ecns.2017.02.004</w:t>
      </w:r>
      <w:bookmarkStart w:id="1" w:name="_GoBack"/>
      <w:bookmarkEnd w:id="1"/>
    </w:p>
    <w:sectPr w:rsidR="00BC2188" w:rsidSect="00973390"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90"/>
    <w:rsid w:val="005D6D61"/>
    <w:rsid w:val="00973390"/>
    <w:rsid w:val="00BC2188"/>
    <w:rsid w:val="00CB4C8C"/>
    <w:rsid w:val="00E90668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D75E"/>
  <w15:chartTrackingRefBased/>
  <w15:docId w15:val="{DD2284FB-E2BF-4905-AAB7-D4303E4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90"/>
  </w:style>
  <w:style w:type="paragraph" w:styleId="Heading1">
    <w:name w:val="heading 1"/>
    <w:basedOn w:val="Normal"/>
    <w:link w:val="Heading1Char"/>
    <w:uiPriority w:val="9"/>
    <w:qFormat/>
    <w:rsid w:val="00973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39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97339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73390"/>
    <w:rPr>
      <w:b/>
      <w:bCs/>
    </w:rPr>
  </w:style>
  <w:style w:type="character" w:styleId="Emphasis">
    <w:name w:val="Emphasis"/>
    <w:basedOn w:val="DefaultParagraphFont"/>
    <w:uiPriority w:val="20"/>
    <w:qFormat/>
    <w:rsid w:val="00973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nedt.2016.07.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ide.tru.ca/2018/04/05/premier-breaks-ground-on-new-nursing-build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technavio.com/blog/top-10-trends-in-educational-technology" TargetMode="External"/><Relationship Id="rId5" Type="http://schemas.openxmlformats.org/officeDocument/2006/relationships/hyperlink" Target="https://www.theglobeandmail.com/life/health-and-fitness/health/supply-of-nurses-falls-in-canada-for-first-time-in-almost-20-years-report/article2506954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na-aiic.ca/en/nursing-practice/the-practice-of-nursing/health-human-resources/nursing-statistics/canad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Heinzig</dc:creator>
  <cp:keywords/>
  <dc:description/>
  <cp:lastModifiedBy>Lona Heinzig</cp:lastModifiedBy>
  <cp:revision>3</cp:revision>
  <cp:lastPrinted>2019-05-15T03:38:00Z</cp:lastPrinted>
  <dcterms:created xsi:type="dcterms:W3CDTF">2019-05-14T21:39:00Z</dcterms:created>
  <dcterms:modified xsi:type="dcterms:W3CDTF">2019-05-15T06:26:00Z</dcterms:modified>
</cp:coreProperties>
</file>